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652" w:rsidRDefault="004D0C8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="00D616F2">
        <w:rPr>
          <w:rFonts w:asciiTheme="majorHAnsi" w:eastAsia="Batang" w:hAnsiTheme="majorHAnsi" w:cs="Times New Roman"/>
          <w:sz w:val="24"/>
          <w:szCs w:val="24"/>
        </w:rPr>
        <w:t>Na temelju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članka 107.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>9. Zakona o odgoju i obrazovanju u osnovnoj i sredn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87/08., 86/09., 92/10., 105/10.-ispravak, 90/11., 16/12., 86</w:t>
      </w:r>
      <w:r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/12.,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94/13., 152/14., 7/17. i 68/18.</w:t>
      </w:r>
      <w:r w:rsidR="007F1CE9" w:rsidRPr="00265BA5">
        <w:rPr>
          <w:rFonts w:asciiTheme="majorHAnsi" w:eastAsia="Batang" w:hAnsiTheme="majorHAnsi" w:cs="Times New Roman"/>
          <w:sz w:val="24"/>
          <w:szCs w:val="24"/>
        </w:rPr>
        <w:t>) i članka</w:t>
      </w:r>
      <w:r w:rsidR="00D616F2">
        <w:rPr>
          <w:rFonts w:asciiTheme="majorHAnsi" w:eastAsia="Batang" w:hAnsiTheme="majorHAnsi" w:cs="Times New Roman"/>
          <w:sz w:val="24"/>
          <w:szCs w:val="24"/>
        </w:rPr>
        <w:t xml:space="preserve"> 53.</w:t>
      </w:r>
      <w:r w:rsidR="008E31D4" w:rsidRPr="00265BA5">
        <w:rPr>
          <w:rFonts w:asciiTheme="majorHAnsi" w:eastAsia="Batang" w:hAnsiTheme="majorHAnsi" w:cs="Times New Roman"/>
          <w:sz w:val="24"/>
          <w:szCs w:val="24"/>
        </w:rPr>
        <w:t xml:space="preserve"> Statuta </w:t>
      </w:r>
      <w:r w:rsidR="00D616F2">
        <w:rPr>
          <w:rFonts w:asciiTheme="majorHAnsi" w:eastAsia="Batang" w:hAnsiTheme="majorHAnsi" w:cs="Times New Roman"/>
          <w:sz w:val="24"/>
          <w:szCs w:val="24"/>
        </w:rPr>
        <w:t>Srednje škole Bartula Kašića Pag,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616F2">
        <w:rPr>
          <w:rFonts w:asciiTheme="majorHAnsi" w:eastAsia="Batang" w:hAnsiTheme="majorHAnsi" w:cs="Times New Roman"/>
          <w:sz w:val="24"/>
          <w:szCs w:val="24"/>
        </w:rPr>
        <w:t>KLASA: 003-05-01/15-01/3 URBROJ: 2198-1-68-01-15-01,  od 10. ožujka 2015.</w:t>
      </w:r>
      <w:r w:rsidR="00EE0B41">
        <w:rPr>
          <w:rFonts w:asciiTheme="majorHAnsi" w:eastAsia="Batang" w:hAnsiTheme="majorHAnsi" w:cs="Times New Roman"/>
          <w:sz w:val="24"/>
          <w:szCs w:val="24"/>
        </w:rPr>
        <w:t>,</w:t>
      </w:r>
      <w:r w:rsidR="00D616F2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Školski odbor </w:t>
      </w:r>
      <w:r w:rsidR="00D616F2">
        <w:rPr>
          <w:rFonts w:asciiTheme="majorHAnsi" w:eastAsia="Batang" w:hAnsiTheme="majorHAnsi" w:cs="Times New Roman"/>
          <w:sz w:val="24"/>
          <w:szCs w:val="24"/>
        </w:rPr>
        <w:t xml:space="preserve">Srednje škole Bartula Kašića Pag, na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>s</w:t>
      </w:r>
      <w:r w:rsidR="00D616F2">
        <w:rPr>
          <w:rFonts w:asciiTheme="majorHAnsi" w:eastAsia="Batang" w:hAnsiTheme="majorHAnsi" w:cs="Times New Roman"/>
          <w:sz w:val="24"/>
          <w:szCs w:val="24"/>
        </w:rPr>
        <w:t xml:space="preserve">jednici održanoj 4. veljače 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>2019</w:t>
      </w:r>
      <w:r w:rsidR="00B30AAC" w:rsidRPr="00265BA5">
        <w:rPr>
          <w:rFonts w:asciiTheme="majorHAnsi" w:eastAsia="Batang" w:hAnsiTheme="majorHAnsi" w:cs="Times New Roman"/>
          <w:sz w:val="24"/>
          <w:szCs w:val="24"/>
        </w:rPr>
        <w:t>. g</w:t>
      </w:r>
      <w:r w:rsidRPr="00265BA5">
        <w:rPr>
          <w:rFonts w:asciiTheme="majorHAnsi" w:eastAsia="Batang" w:hAnsiTheme="majorHAnsi" w:cs="Times New Roman"/>
          <w:sz w:val="24"/>
          <w:szCs w:val="24"/>
        </w:rPr>
        <w:t>odine donio je</w:t>
      </w: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:rsidR="005301EB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U </w:t>
      </w:r>
      <w:r w:rsidR="00D616F2">
        <w:rPr>
          <w:rFonts w:asciiTheme="majorHAnsi" w:eastAsia="Batang" w:hAnsiTheme="majorHAnsi" w:cs="Times New Roman"/>
          <w:b/>
          <w:sz w:val="24"/>
          <w:szCs w:val="24"/>
        </w:rPr>
        <w:t>SREDNJOJ ŠKOLI BARTULA KAŠIĆA PAG</w:t>
      </w:r>
    </w:p>
    <w:p w:rsidR="008D056D" w:rsidRDefault="008D056D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EE0B41" w:rsidRDefault="00EE0B4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0B603D" w:rsidRPr="005C26B4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:rsidR="00563F6B" w:rsidRPr="005C26B4" w:rsidRDefault="00DD6D03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B6781C"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(u daljnjem tekstu: Pravilnik) u</w:t>
      </w:r>
      <w:r w:rsidR="00D616F2">
        <w:rPr>
          <w:rFonts w:asciiTheme="majorHAnsi" w:eastAsia="Batang" w:hAnsiTheme="majorHAnsi" w:cs="Times New Roman"/>
          <w:sz w:val="24"/>
          <w:szCs w:val="24"/>
        </w:rPr>
        <w:t xml:space="preserve"> Srednjoj školi Bartula Kašića Pag</w:t>
      </w:r>
      <w:r w:rsidR="00A30883" w:rsidRPr="005C26B4">
        <w:rPr>
          <w:rFonts w:asciiTheme="majorHAnsi" w:eastAsia="Batang" w:hAnsiTheme="majorHAnsi" w:cs="Times New Roman"/>
          <w:color w:val="C00000"/>
          <w:sz w:val="24"/>
          <w:szCs w:val="24"/>
        </w:rPr>
        <w:t xml:space="preserve"> 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(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u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 xml:space="preserve"> uređuje način i postupak provedbe natječaja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natječaj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koli uputio nadležni Ured državne uprave,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5C26B4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5C26B4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5C26B4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:rsidR="00C36AB9" w:rsidRPr="005C26B4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24ECD" w:rsidRPr="005C26B4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:rsidR="005C26B4" w:rsidRPr="00DD2CFB" w:rsidRDefault="00DD6D03" w:rsidP="005C26B4">
      <w:pPr>
        <w:jc w:val="both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DD2CF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5C26B4" w:rsidRPr="00DD2CFB">
        <w:rPr>
          <w:rFonts w:asciiTheme="majorHAnsi" w:hAnsiTheme="majorHAnsi"/>
          <w:color w:val="000000"/>
          <w:sz w:val="24"/>
          <w:szCs w:val="24"/>
        </w:rPr>
        <w:t>Odredbe ovoga Pravilnika ne primjenjuju se u postupku imenovanja ravnatelja, u postupku zapošljavanja pomoćnika u nastavi</w:t>
      </w:r>
      <w:r w:rsidR="00DD2CFB" w:rsidRPr="00DD2CFB">
        <w:rPr>
          <w:rFonts w:asciiTheme="majorHAnsi" w:hAnsiTheme="majorHAnsi"/>
          <w:color w:val="000000"/>
          <w:sz w:val="24"/>
          <w:szCs w:val="24"/>
        </w:rPr>
        <w:t>,</w:t>
      </w:r>
      <w:r w:rsidR="005C26B4" w:rsidRPr="00DD2CFB">
        <w:rPr>
          <w:rFonts w:asciiTheme="majorHAnsi" w:hAnsiTheme="majorHAnsi"/>
          <w:color w:val="000000"/>
          <w:sz w:val="24"/>
          <w:szCs w:val="24"/>
        </w:rPr>
        <w:t xml:space="preserve"> te </w:t>
      </w:r>
      <w:r w:rsidR="005C26B4" w:rsidRPr="00DD2CFB">
        <w:rPr>
          <w:rFonts w:asciiTheme="majorHAnsi" w:hAnsiTheme="majorHAnsi"/>
          <w:color w:val="000000"/>
          <w:sz w:val="24"/>
          <w:szCs w:val="24"/>
          <w:lang w:eastAsia="hr-HR"/>
        </w:rPr>
        <w:t>str</w:t>
      </w:r>
      <w:r w:rsidR="00EE0B41" w:rsidRPr="00DD2CFB">
        <w:rPr>
          <w:rFonts w:asciiTheme="majorHAnsi" w:hAnsiTheme="majorHAnsi"/>
          <w:color w:val="000000"/>
          <w:sz w:val="24"/>
          <w:szCs w:val="24"/>
          <w:lang w:eastAsia="hr-HR"/>
        </w:rPr>
        <w:t>učno komunikacijskih posrednika.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6781C" w:rsidRPr="005C26B4" w:rsidRDefault="00682335" w:rsidP="000B603D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Rodno </w:t>
      </w:r>
      <w:r w:rsidR="00624ECD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i/>
          <w:sz w:val="24"/>
          <w:szCs w:val="24"/>
        </w:rPr>
        <w:t>značenje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:rsidR="005301EB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:rsidR="003F2F0F" w:rsidRDefault="003F2F0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E459B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lastRenderedPageBreak/>
        <w:t xml:space="preserve">  </w:t>
      </w:r>
    </w:p>
    <w:p w:rsidR="00FE459B" w:rsidRPr="005C26B4" w:rsidRDefault="00B71637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:rsidR="00C21620" w:rsidRPr="005C26B4" w:rsidRDefault="007872F8" w:rsidP="00C21620">
      <w:pPr>
        <w:pStyle w:val="Odlomakpopisa"/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   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:rsidR="00C21620" w:rsidRPr="005C26B4" w:rsidRDefault="00C21620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:rsidR="007872F8" w:rsidRPr="005C26B4" w:rsidRDefault="00DD6D03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872F8"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:rsidR="004314C8" w:rsidRPr="005C26B4" w:rsidRDefault="0002700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 </w:t>
      </w:r>
      <w:r w:rsidR="00027007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292DBA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:rsidR="002F2EC3" w:rsidRPr="005C26B4" w:rsidRDefault="00306A8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2F2EC3"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5C26B4" w:rsidTr="005C082B">
        <w:tc>
          <w:tcPr>
            <w:tcW w:w="900" w:type="dxa"/>
          </w:tcPr>
          <w:p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:rsidTr="005C082B">
        <w:tc>
          <w:tcPr>
            <w:tcW w:w="900" w:type="dxa"/>
          </w:tcPr>
          <w:p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:rsidTr="005C082B">
        <w:tc>
          <w:tcPr>
            <w:tcW w:w="900" w:type="dxa"/>
          </w:tcPr>
          <w:p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:rsidTr="005C082B">
        <w:tc>
          <w:tcPr>
            <w:tcW w:w="900" w:type="dxa"/>
          </w:tcPr>
          <w:p w:rsidR="00ED0556" w:rsidRPr="00EE0B41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nadležnom Uredu državne uprave</w:t>
            </w:r>
          </w:p>
        </w:tc>
        <w:tc>
          <w:tcPr>
            <w:tcW w:w="3240" w:type="dxa"/>
          </w:tcPr>
          <w:p w:rsidR="008E16E7" w:rsidRDefault="00ED0556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:rsidTr="00265BA5">
        <w:trPr>
          <w:trHeight w:val="586"/>
        </w:trPr>
        <w:tc>
          <w:tcPr>
            <w:tcW w:w="900" w:type="dxa"/>
          </w:tcPr>
          <w:p w:rsidR="00265BA5" w:rsidRPr="00265BA5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Uredu državne uprave o razlozima zbog kojih nije primljena upućena osoba</w:t>
            </w:r>
          </w:p>
        </w:tc>
        <w:tc>
          <w:tcPr>
            <w:tcW w:w="3240" w:type="dxa"/>
          </w:tcPr>
          <w:p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:rsidTr="005C082B">
        <w:tc>
          <w:tcPr>
            <w:tcW w:w="900" w:type="dxa"/>
          </w:tcPr>
          <w:p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Postupak vrednovanja kandidata</w:t>
            </w:r>
          </w:p>
        </w:tc>
        <w:tc>
          <w:tcPr>
            <w:tcW w:w="3240" w:type="dxa"/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  <w:r w:rsidR="008E16E7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:rsidTr="0037313C">
        <w:tc>
          <w:tcPr>
            <w:tcW w:w="900" w:type="dxa"/>
            <w:tcBorders>
              <w:bottom w:val="single" w:sz="4" w:space="0" w:color="auto"/>
            </w:tcBorders>
          </w:tcPr>
          <w:p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:rsidR="0037313C" w:rsidRPr="005C26B4" w:rsidRDefault="0037313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D2D81" w:rsidRDefault="00ED2D81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616F2" w:rsidRDefault="00D616F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616F2" w:rsidRDefault="00D616F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616F2" w:rsidRDefault="00D616F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616F2" w:rsidRPr="005C26B4" w:rsidRDefault="00D616F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05A5D" w:rsidRPr="005C26B4" w:rsidRDefault="0095334D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</w:t>
      </w:r>
      <w:r w:rsidR="00475694" w:rsidRPr="005C26B4">
        <w:rPr>
          <w:rFonts w:asciiTheme="majorHAnsi" w:eastAsia="Batang" w:hAnsiTheme="majorHAnsi" w:cs="Times New Roman"/>
          <w:sz w:val="24"/>
          <w:szCs w:val="24"/>
        </w:rPr>
        <w:tab/>
      </w:r>
      <w:r w:rsidR="00FE459B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Objava </w:t>
      </w:r>
      <w:r w:rsidR="002A579A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i s</w:t>
      </w:r>
      <w:r w:rsidR="00405A5D" w:rsidRPr="005C26B4">
        <w:rPr>
          <w:rFonts w:asciiTheme="majorHAnsi" w:eastAsia="Batang" w:hAnsiTheme="majorHAnsi" w:cs="Times New Roman"/>
          <w:i/>
          <w:sz w:val="24"/>
          <w:szCs w:val="24"/>
        </w:rPr>
        <w:t>adržaj natječaja</w:t>
      </w:r>
    </w:p>
    <w:p w:rsidR="00475694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8E16E7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E459B"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:rsidR="000A6EA8" w:rsidRPr="009C6C4B" w:rsidRDefault="00C27C05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:rsidR="002F7CEC" w:rsidRPr="009C6C4B" w:rsidRDefault="002F7CEC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:rsidR="00D70B3F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radno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:rsidR="001B1F2B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764FDC" w:rsidRPr="009C6C4B" w:rsidRDefault="00C27C05" w:rsidP="00764F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:rsidR="00D50B8A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D50B8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:rsidR="005B77D7" w:rsidRPr="009C6C4B" w:rsidRDefault="00D50B8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 probnog rada ako se ugovora,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:rsidR="00292DBA" w:rsidRPr="009C6C4B" w:rsidRDefault="00292DBA" w:rsidP="00292DBA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- naznaku o načinu provođenja postupka vrednovanja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1F09C2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8E31D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  <w:r w:rsidR="00FD64C6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EC3B65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s potrebitom dokumentacijom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4427B5" w:rsidRPr="009C6C4B" w:rsidRDefault="0047728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  <w:r w:rsidR="00ED2D81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:rsidR="004427B5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D2D81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način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obavještavaju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C27C05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:rsidR="006445C8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445C8"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:rsidR="0027712E" w:rsidRPr="009C6C4B" w:rsidRDefault="00027007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:rsidR="0027712E" w:rsidRPr="009C6C4B" w:rsidRDefault="00DD6D03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6445C8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="006445C8"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:rsidR="00356704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D1E3E" w:rsidRPr="009C6C4B" w:rsidRDefault="004D1E3E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56704" w:rsidRPr="004D1E3E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4D1E3E">
        <w:rPr>
          <w:rFonts w:asciiTheme="majorHAnsi" w:eastAsia="Batang" w:hAnsiTheme="majorHAnsi" w:cs="Times New Roman"/>
          <w:i/>
          <w:sz w:val="24"/>
          <w:szCs w:val="24"/>
        </w:rPr>
        <w:t>Prijava na javni natječaj</w:t>
      </w:r>
    </w:p>
    <w:p w:rsidR="00356704" w:rsidRPr="009C6C4B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81C5F" w:rsidRPr="009C6C4B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Povjerenstvo za vrednovanje kandidata</w:t>
      </w:r>
    </w:p>
    <w:p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za vrednovanje kandidata prijavljenih na natječaj i kandidata koje je u Školu uputio nadležni ured državne uprave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se sastoji od tri (3) člana, od kojih je ravnatelj stalni član i predsjednik je povjerenstva.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245A72" w:rsidRPr="009C6C4B" w:rsidRDefault="00776373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45A72"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:rsidR="00ED2D81" w:rsidRPr="009C6C4B" w:rsidRDefault="00ED2D81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D24F5F" w:rsidRPr="009C6C4B" w:rsidRDefault="00D24F5F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Način rada povjerenstva za vrednovanje kandidata</w:t>
      </w:r>
    </w:p>
    <w:p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D24F5F" w:rsidRPr="009C6C4B" w:rsidRDefault="009A25C3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:rsidR="00D24F5F" w:rsidRPr="009C6C4B" w:rsidRDefault="00292DBA" w:rsidP="00D24F5F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</w:t>
      </w:r>
      <w:r w:rsidR="00EE0B41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:rsidR="00D24F5F" w:rsidRPr="009C6C4B" w:rsidRDefault="00292DBA" w:rsidP="001C08E8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</w:p>
    <w:p w:rsidR="00D24F5F" w:rsidRPr="009C6C4B" w:rsidRDefault="00D24F5F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:rsidR="00D24F5F" w:rsidRPr="009C6C4B" w:rsidRDefault="00776373" w:rsidP="00EA6D25">
      <w:pPr>
        <w:spacing w:after="0" w:line="240" w:lineRule="auto"/>
        <w:ind w:firstLine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:rsidR="00D24F5F" w:rsidRPr="009C6C4B" w:rsidRDefault="00D24F5F" w:rsidP="00D24F5F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:rsidR="00D24F5F" w:rsidRPr="009C6C4B" w:rsidRDefault="00D24F5F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>Školu uputio Ured državne uprave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formalne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uvjete iz natječaja i čije su 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kandidate s te liste upućuje na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razgovor 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A00DA" w:rsidRPr="009C6C4B" w:rsidRDefault="00DA00DA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D24F5F" w:rsidRPr="009C6C4B" w:rsidRDefault="00D24F5F" w:rsidP="009A25C3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objavljuje na web stranici 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24F5F" w:rsidRPr="009C6C4B" w:rsidRDefault="00776373" w:rsidP="00776373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utvrđuje rang –listu  kandidata na temelju rezultata provedenog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:rsidR="00604840" w:rsidRPr="009C6C4B" w:rsidRDefault="00604840" w:rsidP="00B710AD">
      <w:pPr>
        <w:pStyle w:val="Odlomakpopisa"/>
        <w:spacing w:after="0" w:line="240" w:lineRule="auto"/>
        <w:ind w:left="284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D7F4D" w:rsidRPr="009C6C4B" w:rsidRDefault="006D7F4D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6D7F4D" w:rsidRPr="0006686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</w:t>
      </w:r>
      <w:r w:rsidR="00EE0B41" w:rsidRP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:rsidR="00DE47C9" w:rsidRPr="009C6C4B" w:rsidRDefault="00DE47C9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C8168A" w:rsidRPr="009C6C4B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370A7" w:rsidRPr="00DD2CFB" w:rsidRDefault="00D370A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DD2CFB">
        <w:rPr>
          <w:rFonts w:asciiTheme="majorHAnsi" w:eastAsia="Batang" w:hAnsiTheme="majorHAnsi" w:cs="Times New Roman"/>
          <w:i/>
          <w:sz w:val="24"/>
          <w:szCs w:val="24"/>
        </w:rPr>
        <w:t xml:space="preserve">Vrednovanje kandidata upućenih od strane </w:t>
      </w:r>
      <w:r w:rsidR="007306CB" w:rsidRPr="00DD2CFB">
        <w:rPr>
          <w:rFonts w:asciiTheme="majorHAnsi" w:eastAsia="Batang" w:hAnsiTheme="majorHAnsi" w:cs="Times New Roman"/>
          <w:i/>
          <w:sz w:val="24"/>
          <w:szCs w:val="24"/>
        </w:rPr>
        <w:t>nadležnog U</w:t>
      </w:r>
      <w:r w:rsidRPr="00DD2CFB">
        <w:rPr>
          <w:rFonts w:asciiTheme="majorHAnsi" w:eastAsia="Batang" w:hAnsiTheme="majorHAnsi" w:cs="Times New Roman"/>
          <w:i/>
          <w:sz w:val="24"/>
          <w:szCs w:val="24"/>
        </w:rPr>
        <w:t>reda</w:t>
      </w:r>
      <w:r w:rsidR="00BB71B1" w:rsidRPr="00DD2CFB">
        <w:rPr>
          <w:rFonts w:asciiTheme="majorHAnsi" w:eastAsia="Batang" w:hAnsiTheme="majorHAnsi" w:cs="Times New Roman"/>
          <w:i/>
          <w:sz w:val="24"/>
          <w:szCs w:val="24"/>
        </w:rPr>
        <w:t xml:space="preserve"> državne uprave</w:t>
      </w:r>
    </w:p>
    <w:p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306CB" w:rsidRPr="009C6C4B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se i za kandidate koje je uputio nadležni Ured državne uprave, 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uvjet da je nadležni Ured državne uprave uputio više od jednog kandidata odnosno da je između njih moguće izvršiti vrednovanje.</w:t>
      </w:r>
    </w:p>
    <w:p w:rsidR="00E06B9C" w:rsidRPr="009C6C4B" w:rsidRDefault="009A25C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Vrednovanje kandidata koje je uputio nadležni Ured državne uprave obavlja se samo ukoliko se Škola nije pisano očitovala o razlozima zbog kojih nije primljena upućena osoba.</w:t>
      </w:r>
    </w:p>
    <w:p w:rsidR="00C8168A" w:rsidRPr="009C6C4B" w:rsidRDefault="00C8168A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814DB3" w:rsidRPr="00DD2CFB" w:rsidRDefault="00223C41" w:rsidP="007306CB">
      <w:pPr>
        <w:spacing w:after="0"/>
        <w:ind w:firstLine="360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DD2CF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>Rezultati vrednovanja</w:t>
      </w:r>
    </w:p>
    <w:p w:rsidR="00814DB3" w:rsidRPr="009C6C4B" w:rsidRDefault="00814DB3" w:rsidP="00814DB3">
      <w:pPr>
        <w:tabs>
          <w:tab w:val="left" w:pos="3540"/>
        </w:tabs>
        <w:spacing w:after="0"/>
        <w:ind w:firstLine="360"/>
        <w:jc w:val="center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Pr="009C6C4B">
        <w:rPr>
          <w:rFonts w:asciiTheme="majorHAnsi" w:eastAsia="Batang" w:hAnsiTheme="majorHAnsi" w:cs="Times New Roman"/>
          <w:sz w:val="24"/>
          <w:szCs w:val="24"/>
        </w:rPr>
        <w:t>– od 0 do 10 bodova.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121/17.), ostvaruje to pravo u odnosu na ostale kandidate samo pod jednakim uvjetima i to redoslijedom utvrđenim člankom 102. stavak 1. točka a) do k) rečenog Zakona.</w:t>
      </w:r>
    </w:p>
    <w:p w:rsidR="009244B1" w:rsidRDefault="001D6627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121/17.) koje su zaposlene na poslovima koji ne odgovaraju njihovoj stručnoj spremi.</w:t>
      </w:r>
    </w:p>
    <w:p w:rsidR="00617BE8" w:rsidRPr="009C6C4B" w:rsidRDefault="00617BE8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zaštiti vojnih i civilnih invalida rata</w:t>
      </w:r>
    </w:p>
    <w:p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148/13.)</w:t>
      </w:r>
      <w:r w:rsidRPr="009C6C4B">
        <w:rPr>
          <w:rFonts w:asciiTheme="majorHAnsi" w:eastAsia="Batang" w:hAnsiTheme="majorHAnsi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vljenih na natječaj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A55DDC" w:rsidRDefault="00A55DDC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profesionalnoj rehabilitaciji i zapošljavanju osoba s invaliditetom</w:t>
      </w:r>
    </w:p>
    <w:p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14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9. Zakona o profesionalnoj rehabilitaciji i zapošljavanju osoba s invaliditetom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("N.N." broj: 157/13., 152/14. i 39/18.)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:rsidR="009244B1" w:rsidRPr="009C6C4B" w:rsidRDefault="00A55DDC" w:rsidP="00DD6D03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616F2" w:rsidRPr="009C6C4B" w:rsidRDefault="00D616F2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:rsidR="00236293" w:rsidRPr="009C6C4B" w:rsidRDefault="00236293" w:rsidP="00236293">
      <w:pPr>
        <w:pStyle w:val="Odlomakpopisa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236293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Utvrđivanje konačne rang liste</w:t>
      </w:r>
    </w:p>
    <w:p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15</w:t>
      </w:r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  <w:r w:rsidR="001A2FF9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do 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102.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48.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Zakona iz članka 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12. do 14.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:rsidR="00522813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:rsidR="00522813" w:rsidRPr="009C6C4B" w:rsidRDefault="00522813" w:rsidP="00522813">
      <w:pPr>
        <w:spacing w:after="0"/>
        <w:ind w:firstLine="426"/>
        <w:jc w:val="center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:rsidR="00522813" w:rsidRPr="009C6C4B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16.</w:t>
      </w:r>
    </w:p>
    <w:p w:rsidR="00522813" w:rsidRPr="009C6C4B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</w:t>
      </w: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uvjeta iz javnog natječaja, uz upozorenje da se nedostavljanje traženih </w:t>
      </w:r>
      <w:r w:rsidR="00FD1B50" w:rsidRPr="009C6C4B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106. Zakona.</w:t>
      </w:r>
    </w:p>
    <w:p w:rsidR="00236293" w:rsidRPr="009C6C4B" w:rsidRDefault="00236293" w:rsidP="0023629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9244B1" w:rsidRPr="009C6C4B" w:rsidRDefault="009244B1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236293" w:rsidRPr="009C6C4B" w:rsidRDefault="00291F6E" w:rsidP="00FA5278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Prethodna suglasnost Š</w:t>
      </w:r>
      <w:r w:rsidR="00FA5278" w:rsidRPr="009C6C4B">
        <w:rPr>
          <w:rFonts w:asciiTheme="majorHAnsi" w:eastAsia="Batang" w:hAnsiTheme="majorHAnsi" w:cs="Times New Roman"/>
          <w:i/>
          <w:sz w:val="24"/>
          <w:szCs w:val="24"/>
        </w:rPr>
        <w:t>kolskog odbora</w:t>
      </w:r>
    </w:p>
    <w:p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:rsidR="00C2644D" w:rsidRPr="009C6C4B" w:rsidRDefault="00236293" w:rsidP="00C2644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Zahtjev za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davanje suglasnosti iz stavka 1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 pravilu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se dostavlja u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pisanom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</w:t>
      </w:r>
    </w:p>
    <w:p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F821E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Odustanak </w:t>
      </w:r>
      <w:r w:rsidR="009244B1" w:rsidRPr="009C6C4B">
        <w:rPr>
          <w:rFonts w:asciiTheme="majorHAnsi" w:eastAsia="Batang" w:hAnsiTheme="majorHAnsi" w:cs="Times New Roman"/>
          <w:i/>
          <w:sz w:val="24"/>
          <w:szCs w:val="24"/>
        </w:rPr>
        <w:t>kandidata</w:t>
      </w:r>
    </w:p>
    <w:p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18.</w:t>
      </w:r>
    </w:p>
    <w:p w:rsidR="009244B1" w:rsidRPr="009C6C4B" w:rsidRDefault="00533DE9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U slučaju odustanka izabranog kandidata od zasnivanje radnog odnosa u školskoj ustanovi, ravnatelj će izabrati drugog kandidata s rang liste iz članka 15.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/testiranju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:rsidR="00DD6D03" w:rsidRPr="009C6C4B" w:rsidRDefault="00DD6D03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F821E7" w:rsidRPr="009C6C4B" w:rsidRDefault="00F821E7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533DE9" w:rsidRPr="009C6C4B" w:rsidRDefault="00533DE9" w:rsidP="00533DE9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 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Pravo uvida u rezultate</w:t>
      </w:r>
    </w:p>
    <w:p w:rsidR="00E807FC" w:rsidRPr="009C6C4B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19.</w:t>
      </w:r>
    </w:p>
    <w:p w:rsidR="00DD6D03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:rsidR="00617BE8" w:rsidRPr="009C6C4B" w:rsidRDefault="00617BE8" w:rsidP="00617BE8">
      <w:pPr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2775E" w:rsidP="00617BE8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lastRenderedPageBreak/>
        <w:t>Sklapanje ugovora o radu</w:t>
      </w:r>
    </w:p>
    <w:p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20.</w:t>
      </w:r>
    </w:p>
    <w:p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>ra iz članka 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:rsidR="003D768C" w:rsidRPr="009C6C4B" w:rsidRDefault="00236293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 postupak sklapanja ugovora o radu primjenjuju se odredbe Pravilnika o radu Škole.</w:t>
      </w:r>
    </w:p>
    <w:p w:rsidR="003D768C" w:rsidRPr="009C6C4B" w:rsidRDefault="003D768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B713C" w:rsidP="00DD6D03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Obavještavanje kandidata </w:t>
      </w:r>
    </w:p>
    <w:p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91F6E" w:rsidRPr="009C6C4B" w:rsidRDefault="00291F6E" w:rsidP="00291F6E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Kandidatu   koji u provedenom natječajnom postupku nije  izabran  Škola dostavlja obavijest i  vraća natječajnu dokumentaciju.                                                                   </w:t>
      </w:r>
    </w:p>
    <w:p w:rsidR="00236293" w:rsidRPr="009C6C4B" w:rsidRDefault="00236293" w:rsidP="008B713C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</w:t>
      </w:r>
    </w:p>
    <w:p w:rsidR="00236293" w:rsidRPr="009C6C4B" w:rsidRDefault="00236293" w:rsidP="008B713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Ovaj Pravilnik stupa na snagu osmog (8) dana od dana objave na oglasnoj ploči Škole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>, a primjenjuje se danom dobivanja suglasnosti nadležnog tijela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65C1C" w:rsidRPr="009C6C4B" w:rsidRDefault="00C8168A" w:rsidP="00573E26">
      <w:pPr>
        <w:pStyle w:val="Bezproreda"/>
        <w:ind w:firstLine="708"/>
        <w:jc w:val="both"/>
        <w:rPr>
          <w:rFonts w:asciiTheme="majorHAnsi" w:eastAsia="Batang" w:hAnsiTheme="majorHAnsi"/>
          <w:lang w:val="hr-HR"/>
        </w:rPr>
      </w:pPr>
      <w:r w:rsidRPr="009C6C4B">
        <w:rPr>
          <w:rFonts w:asciiTheme="majorHAnsi" w:eastAsia="Batang" w:hAnsiTheme="majorHAnsi"/>
          <w:lang w:val="hr-HR"/>
        </w:rPr>
        <w:t>Pravilnik</w:t>
      </w:r>
      <w:r w:rsidR="00765C1C" w:rsidRPr="009C6C4B">
        <w:rPr>
          <w:rFonts w:asciiTheme="majorHAnsi" w:eastAsia="Batang" w:hAnsiTheme="majorHAnsi"/>
          <w:lang w:val="hr-HR"/>
        </w:rPr>
        <w:t xml:space="preserve"> o načinu i postupku zapošljavanja u</w:t>
      </w:r>
      <w:r w:rsidR="00D616F2">
        <w:rPr>
          <w:rFonts w:asciiTheme="majorHAnsi" w:eastAsia="Batang" w:hAnsiTheme="majorHAnsi"/>
          <w:lang w:val="hr-HR"/>
        </w:rPr>
        <w:t xml:space="preserve"> Srednjoj školi Bartula Kašića Pag, Ante Starčevića 9,</w:t>
      </w:r>
      <w:r w:rsidR="00765C1C" w:rsidRPr="009C6C4B">
        <w:rPr>
          <w:rFonts w:asciiTheme="majorHAnsi" w:eastAsia="Batang" w:hAnsiTheme="majorHAnsi"/>
          <w:lang w:val="hr-HR"/>
        </w:rPr>
        <w:t xml:space="preserve"> utvrđen je na </w:t>
      </w:r>
      <w:r w:rsidR="00573E26">
        <w:rPr>
          <w:rFonts w:asciiTheme="majorHAnsi" w:eastAsia="Batang" w:hAnsiTheme="majorHAnsi"/>
          <w:lang w:val="hr-HR"/>
        </w:rPr>
        <w:t>23.</w:t>
      </w:r>
      <w:r w:rsidR="00765C1C" w:rsidRPr="009C6C4B">
        <w:rPr>
          <w:rFonts w:asciiTheme="majorHAnsi" w:eastAsia="Batang" w:hAnsiTheme="majorHAnsi"/>
          <w:lang w:val="hr-HR"/>
        </w:rPr>
        <w:t xml:space="preserve">  sjednici Školskog odbora od </w:t>
      </w:r>
      <w:r w:rsidR="00573E26">
        <w:rPr>
          <w:rFonts w:asciiTheme="majorHAnsi" w:eastAsia="Batang" w:hAnsiTheme="majorHAnsi"/>
          <w:lang w:val="hr-HR"/>
        </w:rPr>
        <w:t>4. veljače</w:t>
      </w:r>
      <w:r w:rsidR="00A221D5" w:rsidRPr="009C6C4B">
        <w:rPr>
          <w:rFonts w:asciiTheme="majorHAnsi" w:eastAsia="Batang" w:hAnsiTheme="majorHAnsi"/>
          <w:lang w:val="hr-HR"/>
        </w:rPr>
        <w:t xml:space="preserve"> </w:t>
      </w:r>
      <w:r w:rsidR="00765C1C" w:rsidRPr="009C6C4B">
        <w:rPr>
          <w:rFonts w:asciiTheme="majorHAnsi" w:eastAsia="Batang" w:hAnsiTheme="majorHAnsi"/>
          <w:lang w:val="hr-HR"/>
        </w:rPr>
        <w:t>2019. godine.</w:t>
      </w:r>
    </w:p>
    <w:p w:rsidR="00595FEC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55E94" w:rsidRPr="009C6C4B" w:rsidRDefault="00E55E94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E0240" w:rsidRPr="009C6C4B" w:rsidRDefault="00BE0240" w:rsidP="00BE0240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KLASA: </w:t>
      </w:r>
      <w:r w:rsidR="00573E26">
        <w:rPr>
          <w:rFonts w:asciiTheme="majorHAnsi" w:eastAsia="Batang" w:hAnsiTheme="majorHAnsi"/>
        </w:rPr>
        <w:t>003-05-01/19-01/1</w:t>
      </w:r>
    </w:p>
    <w:p w:rsidR="001D6627" w:rsidRPr="009C6C4B" w:rsidRDefault="00BE0240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URBROJ:</w:t>
      </w:r>
      <w:r w:rsidR="00573E26">
        <w:rPr>
          <w:rFonts w:asciiTheme="majorHAnsi" w:eastAsia="Batang" w:hAnsiTheme="majorHAnsi"/>
        </w:rPr>
        <w:t xml:space="preserve"> 2198-1-68-01-19-01</w:t>
      </w:r>
    </w:p>
    <w:p w:rsidR="001D6627" w:rsidRDefault="00573E26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Pag, 4. veljače 2019.</w:t>
      </w:r>
    </w:p>
    <w:p w:rsidR="00573E26" w:rsidRDefault="00573E26" w:rsidP="001D6627">
      <w:pPr>
        <w:pStyle w:val="Tijeloteksta"/>
        <w:rPr>
          <w:rFonts w:asciiTheme="majorHAnsi" w:eastAsia="Batang" w:hAnsiTheme="majorHAnsi"/>
        </w:rPr>
      </w:pPr>
    </w:p>
    <w:p w:rsidR="00573E26" w:rsidRPr="009C6C4B" w:rsidRDefault="00573E26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</w:t>
      </w:r>
    </w:p>
    <w:p w:rsidR="00595FEC" w:rsidRDefault="00595FEC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</w:t>
      </w:r>
      <w:r w:rsidR="00E55E94">
        <w:rPr>
          <w:rFonts w:asciiTheme="majorHAnsi" w:eastAsia="Batang" w:hAnsiTheme="majorHAnsi"/>
        </w:rPr>
        <w:t xml:space="preserve">                                                                                      </w:t>
      </w:r>
      <w:r w:rsidR="00573E26">
        <w:rPr>
          <w:rFonts w:asciiTheme="majorHAnsi" w:eastAsia="Batang" w:hAnsiTheme="majorHAnsi"/>
        </w:rPr>
        <w:t xml:space="preserve">       </w:t>
      </w:r>
      <w:r w:rsidR="00E55E94">
        <w:rPr>
          <w:rFonts w:asciiTheme="majorHAnsi" w:eastAsia="Batang" w:hAnsiTheme="majorHAnsi"/>
        </w:rPr>
        <w:t xml:space="preserve">  </w:t>
      </w:r>
      <w:r w:rsidR="00573E26">
        <w:rPr>
          <w:rFonts w:asciiTheme="majorHAnsi" w:eastAsia="Batang" w:hAnsiTheme="majorHAnsi"/>
        </w:rPr>
        <w:t>Predsjednica</w:t>
      </w:r>
      <w:r w:rsidRPr="009C6C4B">
        <w:rPr>
          <w:rFonts w:asciiTheme="majorHAnsi" w:eastAsia="Batang" w:hAnsiTheme="majorHAnsi"/>
        </w:rPr>
        <w:t xml:space="preserve"> Školskog odbora</w:t>
      </w:r>
    </w:p>
    <w:p w:rsidR="00573E26" w:rsidRPr="009C6C4B" w:rsidRDefault="00573E26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ab/>
      </w:r>
      <w:r>
        <w:rPr>
          <w:rFonts w:asciiTheme="majorHAnsi" w:eastAsia="Batang" w:hAnsiTheme="majorHAnsi"/>
        </w:rPr>
        <w:tab/>
      </w:r>
      <w:r>
        <w:rPr>
          <w:rFonts w:asciiTheme="majorHAnsi" w:eastAsia="Batang" w:hAnsiTheme="majorHAnsi"/>
        </w:rPr>
        <w:tab/>
      </w:r>
      <w:r>
        <w:rPr>
          <w:rFonts w:asciiTheme="majorHAnsi" w:eastAsia="Batang" w:hAnsiTheme="majorHAnsi"/>
        </w:rPr>
        <w:tab/>
      </w:r>
      <w:r>
        <w:rPr>
          <w:rFonts w:asciiTheme="majorHAnsi" w:eastAsia="Batang" w:hAnsiTheme="majorHAnsi"/>
        </w:rPr>
        <w:tab/>
      </w:r>
      <w:r>
        <w:rPr>
          <w:rFonts w:asciiTheme="majorHAnsi" w:eastAsia="Batang" w:hAnsiTheme="majorHAnsi"/>
        </w:rPr>
        <w:tab/>
      </w:r>
      <w:r>
        <w:rPr>
          <w:rFonts w:asciiTheme="majorHAnsi" w:eastAsia="Batang" w:hAnsiTheme="majorHAnsi"/>
        </w:rPr>
        <w:tab/>
        <w:t xml:space="preserve">               Sanja Maržić, prof.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              </w:t>
      </w:r>
      <w:r w:rsidR="00573E26">
        <w:rPr>
          <w:rFonts w:asciiTheme="majorHAnsi" w:eastAsia="Batang" w:hAnsiTheme="majorHAnsi" w:cs="Times New Roman"/>
          <w:sz w:val="24"/>
          <w:szCs w:val="24"/>
        </w:rPr>
        <w:t xml:space="preserve">          </w:t>
      </w:r>
    </w:p>
    <w:p w:rsidR="00236293" w:rsidRPr="009C6C4B" w:rsidRDefault="00595FE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</w:p>
    <w:p w:rsidR="00573E26" w:rsidRDefault="00DD6D03" w:rsidP="00DD6D03">
      <w:pPr>
        <w:pStyle w:val="Tijeloteksta"/>
        <w:rPr>
          <w:rFonts w:asciiTheme="majorHAnsi" w:eastAsia="Batang" w:hAnsiTheme="majorHAnsi"/>
          <w:lang w:eastAsia="hr-HR"/>
        </w:rPr>
      </w:pPr>
      <w:r w:rsidRPr="009C6C4B">
        <w:rPr>
          <w:rFonts w:asciiTheme="majorHAnsi" w:eastAsia="Batang" w:hAnsiTheme="majorHAnsi"/>
          <w:lang w:eastAsia="hr-HR"/>
        </w:rPr>
        <w:t xml:space="preserve">     </w:t>
      </w:r>
    </w:p>
    <w:p w:rsidR="00573E26" w:rsidRDefault="00DD6D03" w:rsidP="00DD6D03">
      <w:pPr>
        <w:pStyle w:val="Tijeloteksta"/>
        <w:rPr>
          <w:rFonts w:asciiTheme="majorHAnsi" w:eastAsia="Batang" w:hAnsiTheme="majorHAnsi"/>
          <w:lang w:eastAsia="hr-HR"/>
        </w:rPr>
      </w:pPr>
      <w:r w:rsidRPr="009C6C4B">
        <w:rPr>
          <w:rFonts w:asciiTheme="majorHAnsi" w:eastAsia="Batang" w:hAnsiTheme="majorHAnsi"/>
          <w:lang w:eastAsia="hr-HR"/>
        </w:rPr>
        <w:t xml:space="preserve">   </w:t>
      </w:r>
    </w:p>
    <w:p w:rsidR="00D3294C" w:rsidRPr="009C6C4B" w:rsidRDefault="00DD6D03" w:rsidP="00DD6D03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  <w:lang w:eastAsia="hr-HR"/>
        </w:rPr>
        <w:t xml:space="preserve"> </w:t>
      </w:r>
      <w:r w:rsidR="00D3294C" w:rsidRPr="009C6C4B">
        <w:rPr>
          <w:rFonts w:asciiTheme="majorHAnsi" w:eastAsia="Batang" w:hAnsiTheme="majorHAnsi"/>
        </w:rPr>
        <w:t>Ovaj Pravilnik objavljen je dana _________________. godine i stupa na snagu dana _____________________________. godine.</w:t>
      </w:r>
    </w:p>
    <w:p w:rsidR="00D3294C" w:rsidRPr="009C6C4B" w:rsidRDefault="00D3294C" w:rsidP="00D3294C">
      <w:pPr>
        <w:pStyle w:val="Tijeloteksta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                                                                         </w:t>
      </w:r>
    </w:p>
    <w:p w:rsidR="00DD6D03" w:rsidRPr="009C6C4B" w:rsidRDefault="00573E26" w:rsidP="00573E26">
      <w:pPr>
        <w:pStyle w:val="Tijeloteksta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                                                                                   </w:t>
      </w:r>
      <w:r w:rsidR="00D3294C" w:rsidRPr="009C6C4B">
        <w:rPr>
          <w:rFonts w:asciiTheme="majorHAnsi" w:eastAsia="Batang" w:hAnsiTheme="majorHAnsi"/>
        </w:rPr>
        <w:t>Ravnatelj</w:t>
      </w:r>
      <w:r>
        <w:rPr>
          <w:rFonts w:asciiTheme="majorHAnsi" w:eastAsia="Batang" w:hAnsiTheme="majorHAnsi"/>
        </w:rPr>
        <w:t>ica</w:t>
      </w:r>
    </w:p>
    <w:p w:rsidR="00D3294C" w:rsidRPr="009C6C4B" w:rsidRDefault="00573E26" w:rsidP="00DD6D03">
      <w:pPr>
        <w:pStyle w:val="Tijeloteksta"/>
        <w:ind w:left="5760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Marija Pećirko, prof.</w:t>
      </w:r>
    </w:p>
    <w:p w:rsidR="00D3294C" w:rsidRPr="009C6C4B" w:rsidRDefault="00D3294C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F2400D" w:rsidRPr="00573E26" w:rsidRDefault="00BF7ECA" w:rsidP="00573E26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sectPr w:rsidR="00F2400D" w:rsidRPr="00573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4C" w:rsidRDefault="0051644C" w:rsidP="000A75EC">
      <w:pPr>
        <w:spacing w:after="0" w:line="240" w:lineRule="auto"/>
      </w:pPr>
      <w:r>
        <w:separator/>
      </w:r>
    </w:p>
  </w:endnote>
  <w:endnote w:type="continuationSeparator" w:id="0">
    <w:p w:rsidR="0051644C" w:rsidRDefault="0051644C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C3">
          <w:rPr>
            <w:noProof/>
          </w:rPr>
          <w:t>1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4C" w:rsidRDefault="0051644C" w:rsidP="000A75EC">
      <w:pPr>
        <w:spacing w:after="0" w:line="240" w:lineRule="auto"/>
      </w:pPr>
      <w:r>
        <w:separator/>
      </w:r>
    </w:p>
  </w:footnote>
  <w:footnote w:type="continuationSeparator" w:id="0">
    <w:p w:rsidR="0051644C" w:rsidRDefault="0051644C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539"/>
    <w:rsid w:val="00013C07"/>
    <w:rsid w:val="000226A4"/>
    <w:rsid w:val="00025A18"/>
    <w:rsid w:val="00027007"/>
    <w:rsid w:val="000405BF"/>
    <w:rsid w:val="00040DF8"/>
    <w:rsid w:val="000519DE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3AD6"/>
    <w:rsid w:val="00095D96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F14"/>
    <w:rsid w:val="000C77FF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4706"/>
    <w:rsid w:val="0010624D"/>
    <w:rsid w:val="001073B1"/>
    <w:rsid w:val="00107A0D"/>
    <w:rsid w:val="0011125D"/>
    <w:rsid w:val="0011310C"/>
    <w:rsid w:val="001214D8"/>
    <w:rsid w:val="001246AD"/>
    <w:rsid w:val="00125026"/>
    <w:rsid w:val="00132556"/>
    <w:rsid w:val="00134988"/>
    <w:rsid w:val="00135652"/>
    <w:rsid w:val="0014101A"/>
    <w:rsid w:val="00146E22"/>
    <w:rsid w:val="001505B2"/>
    <w:rsid w:val="001508EB"/>
    <w:rsid w:val="00156E9C"/>
    <w:rsid w:val="00157172"/>
    <w:rsid w:val="00160364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5438"/>
    <w:rsid w:val="001955E9"/>
    <w:rsid w:val="001A2FF9"/>
    <w:rsid w:val="001B1670"/>
    <w:rsid w:val="001B1F2B"/>
    <w:rsid w:val="001B5397"/>
    <w:rsid w:val="001B5D65"/>
    <w:rsid w:val="001B5FE0"/>
    <w:rsid w:val="001C0357"/>
    <w:rsid w:val="001C08E8"/>
    <w:rsid w:val="001C305A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544C"/>
    <w:rsid w:val="001F5EC6"/>
    <w:rsid w:val="001F7E2E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61E45"/>
    <w:rsid w:val="00262797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DF3"/>
    <w:rsid w:val="002D247C"/>
    <w:rsid w:val="002D3936"/>
    <w:rsid w:val="002E24C1"/>
    <w:rsid w:val="002E2D33"/>
    <w:rsid w:val="002F1CE6"/>
    <w:rsid w:val="002F2625"/>
    <w:rsid w:val="002F2CAC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31851"/>
    <w:rsid w:val="00335499"/>
    <w:rsid w:val="003356EF"/>
    <w:rsid w:val="003366F0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58E0"/>
    <w:rsid w:val="003A2385"/>
    <w:rsid w:val="003A6028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518C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73E0"/>
    <w:rsid w:val="00407DF8"/>
    <w:rsid w:val="00411CEB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6A4F"/>
    <w:rsid w:val="004A7F0A"/>
    <w:rsid w:val="004B3575"/>
    <w:rsid w:val="004C0AFD"/>
    <w:rsid w:val="004D0C82"/>
    <w:rsid w:val="004D11DC"/>
    <w:rsid w:val="004D1E3E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4988"/>
    <w:rsid w:val="00512B5F"/>
    <w:rsid w:val="00514E56"/>
    <w:rsid w:val="005151CD"/>
    <w:rsid w:val="0051644C"/>
    <w:rsid w:val="00522813"/>
    <w:rsid w:val="005244D6"/>
    <w:rsid w:val="005301EB"/>
    <w:rsid w:val="00530D0A"/>
    <w:rsid w:val="00531226"/>
    <w:rsid w:val="00533DE9"/>
    <w:rsid w:val="0053704F"/>
    <w:rsid w:val="0053717A"/>
    <w:rsid w:val="0054172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73E26"/>
    <w:rsid w:val="00582BE2"/>
    <w:rsid w:val="00582C72"/>
    <w:rsid w:val="0059073D"/>
    <w:rsid w:val="00590B47"/>
    <w:rsid w:val="005943A9"/>
    <w:rsid w:val="005946E4"/>
    <w:rsid w:val="00595FEC"/>
    <w:rsid w:val="00596E85"/>
    <w:rsid w:val="005A10CC"/>
    <w:rsid w:val="005A3FEA"/>
    <w:rsid w:val="005A4D13"/>
    <w:rsid w:val="005B2615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374A"/>
    <w:rsid w:val="005E3A5A"/>
    <w:rsid w:val="005E5E1B"/>
    <w:rsid w:val="005F19E7"/>
    <w:rsid w:val="005F289C"/>
    <w:rsid w:val="005F431B"/>
    <w:rsid w:val="00600582"/>
    <w:rsid w:val="00604840"/>
    <w:rsid w:val="006049CD"/>
    <w:rsid w:val="00605CDE"/>
    <w:rsid w:val="00611C23"/>
    <w:rsid w:val="00614A45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7CF5"/>
    <w:rsid w:val="006B2063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5052"/>
    <w:rsid w:val="006E77DF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7EFC"/>
    <w:rsid w:val="00722AE6"/>
    <w:rsid w:val="00722B2F"/>
    <w:rsid w:val="00725BC0"/>
    <w:rsid w:val="007306CB"/>
    <w:rsid w:val="0073132D"/>
    <w:rsid w:val="00731DA9"/>
    <w:rsid w:val="00733821"/>
    <w:rsid w:val="0074314C"/>
    <w:rsid w:val="00752ADE"/>
    <w:rsid w:val="00760363"/>
    <w:rsid w:val="007610F8"/>
    <w:rsid w:val="00762002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FDE"/>
    <w:rsid w:val="007B2D5A"/>
    <w:rsid w:val="007B6B14"/>
    <w:rsid w:val="007B765C"/>
    <w:rsid w:val="007C1E62"/>
    <w:rsid w:val="007C22E1"/>
    <w:rsid w:val="007C53D4"/>
    <w:rsid w:val="007E0B58"/>
    <w:rsid w:val="007E1D8A"/>
    <w:rsid w:val="007F1CE9"/>
    <w:rsid w:val="007F3DB3"/>
    <w:rsid w:val="00805251"/>
    <w:rsid w:val="0080637E"/>
    <w:rsid w:val="00814DB3"/>
    <w:rsid w:val="008201D7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70CA3"/>
    <w:rsid w:val="00882FEC"/>
    <w:rsid w:val="008906D3"/>
    <w:rsid w:val="0089219C"/>
    <w:rsid w:val="008925F2"/>
    <w:rsid w:val="00896E20"/>
    <w:rsid w:val="00896EC5"/>
    <w:rsid w:val="008A1A51"/>
    <w:rsid w:val="008A78CB"/>
    <w:rsid w:val="008B3BC7"/>
    <w:rsid w:val="008B713C"/>
    <w:rsid w:val="008C0D8C"/>
    <w:rsid w:val="008D02E0"/>
    <w:rsid w:val="008D056D"/>
    <w:rsid w:val="008D395B"/>
    <w:rsid w:val="008D41B8"/>
    <w:rsid w:val="008E16E7"/>
    <w:rsid w:val="008E31D4"/>
    <w:rsid w:val="008F0B28"/>
    <w:rsid w:val="008F5377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93B35"/>
    <w:rsid w:val="009949F2"/>
    <w:rsid w:val="009962F3"/>
    <w:rsid w:val="009A20F9"/>
    <w:rsid w:val="009A25C3"/>
    <w:rsid w:val="009A2B6D"/>
    <w:rsid w:val="009A558A"/>
    <w:rsid w:val="009B1C80"/>
    <w:rsid w:val="009B3767"/>
    <w:rsid w:val="009B5EB2"/>
    <w:rsid w:val="009C35B2"/>
    <w:rsid w:val="009C6C4B"/>
    <w:rsid w:val="009D03BA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62FE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91AC3"/>
    <w:rsid w:val="00AA1230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3C88"/>
    <w:rsid w:val="00BB47EE"/>
    <w:rsid w:val="00BB63D2"/>
    <w:rsid w:val="00BB6A5C"/>
    <w:rsid w:val="00BB71B1"/>
    <w:rsid w:val="00BC1267"/>
    <w:rsid w:val="00BC32A5"/>
    <w:rsid w:val="00BC4B52"/>
    <w:rsid w:val="00BC4E08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42C0"/>
    <w:rsid w:val="00C2644D"/>
    <w:rsid w:val="00C27C05"/>
    <w:rsid w:val="00C3282D"/>
    <w:rsid w:val="00C369B0"/>
    <w:rsid w:val="00C36AB9"/>
    <w:rsid w:val="00C3773C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44E6"/>
    <w:rsid w:val="00D0247F"/>
    <w:rsid w:val="00D026D6"/>
    <w:rsid w:val="00D0689C"/>
    <w:rsid w:val="00D110B7"/>
    <w:rsid w:val="00D125CF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6B0E"/>
    <w:rsid w:val="00D50A9F"/>
    <w:rsid w:val="00D50B8A"/>
    <w:rsid w:val="00D52876"/>
    <w:rsid w:val="00D616F2"/>
    <w:rsid w:val="00D61DF8"/>
    <w:rsid w:val="00D70B3F"/>
    <w:rsid w:val="00D742FE"/>
    <w:rsid w:val="00D81B53"/>
    <w:rsid w:val="00D82BAD"/>
    <w:rsid w:val="00D8448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2CFB"/>
    <w:rsid w:val="00DD428F"/>
    <w:rsid w:val="00DD6D03"/>
    <w:rsid w:val="00DE3AF9"/>
    <w:rsid w:val="00DE47C9"/>
    <w:rsid w:val="00DE4F35"/>
    <w:rsid w:val="00DE5E4C"/>
    <w:rsid w:val="00DE6610"/>
    <w:rsid w:val="00DF12E2"/>
    <w:rsid w:val="00DF6DFC"/>
    <w:rsid w:val="00E0127B"/>
    <w:rsid w:val="00E043B5"/>
    <w:rsid w:val="00E05AA0"/>
    <w:rsid w:val="00E06B9C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5E94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A4"/>
    <w:rsid w:val="00EF5B4D"/>
    <w:rsid w:val="00EF7E48"/>
    <w:rsid w:val="00F00AEE"/>
    <w:rsid w:val="00F02B4E"/>
    <w:rsid w:val="00F03CEC"/>
    <w:rsid w:val="00F04F18"/>
    <w:rsid w:val="00F05A0B"/>
    <w:rsid w:val="00F05B9F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30135"/>
    <w:rsid w:val="00F36B57"/>
    <w:rsid w:val="00F46D3B"/>
    <w:rsid w:val="00F51E84"/>
    <w:rsid w:val="00F545C3"/>
    <w:rsid w:val="00F555E4"/>
    <w:rsid w:val="00F6158A"/>
    <w:rsid w:val="00F66F79"/>
    <w:rsid w:val="00F821E7"/>
    <w:rsid w:val="00F83B26"/>
    <w:rsid w:val="00F863AF"/>
    <w:rsid w:val="00F92CCB"/>
    <w:rsid w:val="00F94E78"/>
    <w:rsid w:val="00FA1511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D3E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0FDF-BE22-457C-83E5-03E3604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4413-DB0A-46DA-996A-B536BC2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Bartul</cp:lastModifiedBy>
  <cp:revision>3</cp:revision>
  <cp:lastPrinted>2019-02-01T10:37:00Z</cp:lastPrinted>
  <dcterms:created xsi:type="dcterms:W3CDTF">2020-10-23T11:35:00Z</dcterms:created>
  <dcterms:modified xsi:type="dcterms:W3CDTF">2020-10-23T11:35:00Z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